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4D62" w14:textId="74B17B20" w:rsidR="00974416" w:rsidRPr="003431B9" w:rsidRDefault="003431B9" w:rsidP="003431B9">
      <w:pPr>
        <w:spacing w:line="360" w:lineRule="auto"/>
        <w:rPr>
          <w:rFonts w:ascii="Times New Roman" w:hAnsi="Times New Roman" w:cs="Times New Roman"/>
          <w:b/>
          <w:bCs/>
          <w:sz w:val="24"/>
        </w:rPr>
      </w:pPr>
      <w:r w:rsidRPr="003431B9">
        <w:rPr>
          <w:rFonts w:ascii="Times New Roman" w:hAnsi="Times New Roman" w:cs="Times New Roman"/>
          <w:b/>
          <w:bCs/>
          <w:sz w:val="24"/>
        </w:rPr>
        <w:t>Supplementary Figure Legends</w:t>
      </w:r>
    </w:p>
    <w:p w14:paraId="599E7CBF" w14:textId="29BB3EC9" w:rsidR="00974416" w:rsidRPr="003431B9" w:rsidRDefault="003431B9" w:rsidP="003431B9">
      <w:pPr>
        <w:spacing w:line="360" w:lineRule="auto"/>
        <w:rPr>
          <w:rFonts w:ascii="Times New Roman" w:hAnsi="Times New Roman" w:cs="Times New Roman"/>
          <w:sz w:val="24"/>
        </w:rPr>
      </w:pPr>
      <w:r w:rsidRPr="003431B9">
        <w:rPr>
          <w:rFonts w:ascii="Times New Roman" w:hAnsi="Times New Roman" w:cs="Times New Roman"/>
          <w:b/>
          <w:bCs/>
          <w:sz w:val="24"/>
        </w:rPr>
        <w:t>Supplementary</w:t>
      </w:r>
      <w:r w:rsidRPr="003431B9">
        <w:rPr>
          <w:rFonts w:ascii="Times New Roman" w:hAnsi="Times New Roman" w:cs="Times New Roman"/>
          <w:b/>
          <w:bCs/>
          <w:sz w:val="24"/>
        </w:rPr>
        <w:t xml:space="preserve"> </w:t>
      </w:r>
      <w:r w:rsidR="00000000" w:rsidRPr="003431B9">
        <w:rPr>
          <w:rFonts w:ascii="Times New Roman" w:hAnsi="Times New Roman" w:cs="Times New Roman"/>
          <w:b/>
          <w:bCs/>
          <w:sz w:val="24"/>
        </w:rPr>
        <w:t xml:space="preserve">Figure S1. </w:t>
      </w:r>
      <w:r w:rsidR="00000000" w:rsidRPr="003431B9">
        <w:rPr>
          <w:rFonts w:ascii="Times New Roman" w:eastAsia="SimSun" w:hAnsi="Times New Roman" w:cs="Times New Roman"/>
          <w:sz w:val="24"/>
        </w:rPr>
        <w:t xml:space="preserve">Immunological analysis of the systemic effects of treatment with DRibbles, anti-OX40 antibody and ATP. A) </w:t>
      </w:r>
      <w:r w:rsidR="00000000" w:rsidRPr="003431B9">
        <w:rPr>
          <w:rFonts w:ascii="Times New Roman" w:eastAsia="SimSun" w:hAnsi="Times New Roman" w:cs="Times New Roman"/>
          <w:color w:val="000000"/>
          <w:kern w:val="24"/>
          <w:sz w:val="24"/>
        </w:rPr>
        <w:t>Detailed information of flow cytometry for</w:t>
      </w:r>
      <w:r w:rsidR="00000000" w:rsidRPr="003431B9">
        <w:rPr>
          <w:rFonts w:ascii="Times New Roman" w:eastAsia="SimSun" w:hAnsi="Times New Roman" w:cs="Times New Roman"/>
          <w:sz w:val="24"/>
        </w:rPr>
        <w:t xml:space="preserve"> the percentages of IFN-</w:t>
      </w:r>
      <w:r w:rsidR="00000000" w:rsidRPr="003431B9">
        <w:rPr>
          <w:rFonts w:ascii="Times New Roman" w:hAnsi="Times New Roman" w:cs="Times New Roman"/>
          <w:sz w:val="24"/>
        </w:rPr>
        <w:t>γ</w:t>
      </w:r>
      <w:r w:rsidR="00000000" w:rsidRPr="003431B9">
        <w:rPr>
          <w:rFonts w:ascii="Times New Roman" w:eastAsia="SimSun" w:hAnsi="Times New Roman" w:cs="Times New Roman"/>
          <w:sz w:val="24"/>
        </w:rPr>
        <w:t>-producing CD4+ T cells, CD8+ T cells, and FoxP3+ T cells on day 15 in spleen (left panel) and peripheral blood (right panel) samples from mice with B16F10 tumors treated with PBS, OX40, DR, DO, and DOA. B) Flow cytometry analysis of the percentages of IFN-</w:t>
      </w:r>
      <w:r w:rsidR="00000000" w:rsidRPr="003431B9">
        <w:rPr>
          <w:rFonts w:ascii="Times New Roman" w:hAnsi="Times New Roman" w:cs="Times New Roman"/>
          <w:sz w:val="24"/>
        </w:rPr>
        <w:t>γ</w:t>
      </w:r>
      <w:r w:rsidR="00000000" w:rsidRPr="003431B9">
        <w:rPr>
          <w:rFonts w:ascii="Times New Roman" w:eastAsia="SimSun" w:hAnsi="Times New Roman" w:cs="Times New Roman"/>
          <w:sz w:val="24"/>
        </w:rPr>
        <w:t>-producing CD4+ T cells, CD8+ T cells, and FoxP3+ T cells on day 20 in spleen (left panel) and peripheral blood (right panel) samples from mice with 4T1 tumors treated with PBS, OX40, DR, DO, and DOA. DR, DRibbles; DO, DR+OX40; DOA, DR+OX40+ATP.</w:t>
      </w:r>
    </w:p>
    <w:p w14:paraId="3024848D" w14:textId="628DE737" w:rsidR="00974416" w:rsidRPr="003431B9" w:rsidRDefault="00974416" w:rsidP="003431B9">
      <w:pPr>
        <w:pStyle w:val="Normlnywebov"/>
        <w:widowControl/>
        <w:spacing w:before="200" w:after="0" w:line="360" w:lineRule="auto"/>
        <w:rPr>
          <w:rFonts w:ascii="Times New Roman" w:hAnsi="Times New Roman" w:cs="Times New Roman"/>
        </w:rPr>
      </w:pPr>
    </w:p>
    <w:p w14:paraId="03FDF4E9" w14:textId="1CF65483" w:rsidR="00974416" w:rsidRPr="003431B9" w:rsidRDefault="003431B9" w:rsidP="003431B9">
      <w:pPr>
        <w:pStyle w:val="Normlnywebov"/>
        <w:widowControl/>
        <w:spacing w:after="0" w:line="360" w:lineRule="auto"/>
        <w:rPr>
          <w:rFonts w:ascii="Times New Roman" w:hAnsi="Times New Roman" w:cs="Times New Roman"/>
        </w:rPr>
      </w:pPr>
      <w:r w:rsidRPr="003431B9">
        <w:rPr>
          <w:rFonts w:ascii="Times New Roman" w:hAnsi="Times New Roman" w:cs="Times New Roman"/>
          <w:b/>
          <w:bCs/>
        </w:rPr>
        <w:t>Supplementary</w:t>
      </w:r>
      <w:r w:rsidRPr="003431B9">
        <w:rPr>
          <w:rFonts w:ascii="Times New Roman" w:hAnsi="Times New Roman" w:cs="Times New Roman"/>
          <w:b/>
          <w:bCs/>
        </w:rPr>
        <w:t xml:space="preserve"> </w:t>
      </w:r>
      <w:r w:rsidR="00000000" w:rsidRPr="003431B9">
        <w:rPr>
          <w:rFonts w:ascii="Times New Roman" w:hAnsi="Times New Roman" w:cs="Times New Roman"/>
          <w:b/>
          <w:bCs/>
        </w:rPr>
        <w:t>Figure S2.</w:t>
      </w:r>
      <w:r w:rsidR="00000000" w:rsidRPr="003431B9">
        <w:rPr>
          <w:rFonts w:ascii="Times New Roman" w:eastAsia="SimSun" w:hAnsi="Times New Roman" w:cs="Times New Roman"/>
          <w:b/>
          <w:bCs/>
          <w:color w:val="000000"/>
          <w:kern w:val="24"/>
        </w:rPr>
        <w:t xml:space="preserve"> </w:t>
      </w:r>
      <w:r w:rsidR="00000000" w:rsidRPr="003431B9">
        <w:rPr>
          <w:rFonts w:ascii="Times New Roman" w:eastAsia="SimSun" w:hAnsi="Times New Roman" w:cs="Times New Roman"/>
          <w:color w:val="000000"/>
          <w:kern w:val="24"/>
        </w:rPr>
        <w:t>Induction of tumor-reactive T cells by DRibbles treatment.</w:t>
      </w:r>
      <w:r w:rsidR="00000000" w:rsidRPr="003431B9">
        <w:rPr>
          <w:rFonts w:ascii="Times New Roman" w:eastAsia="SimSun" w:hAnsi="Times New Roman" w:cs="Times New Roman"/>
          <w:bCs/>
          <w:color w:val="000000"/>
          <w:kern w:val="24"/>
        </w:rPr>
        <w:t xml:space="preserve"> A, B) Detailed information of flow cytometry for intracellular cytokine (IFN-γ and TNF-α) secretion. Through CD4/CD8 surface and intracellular cytokine (IFN-γ and TNF-α) staining, flow cytometry was performed to analyze the activation of splenic T cells incubated with B16F10 tumor cells in different groups (</w:t>
      </w:r>
      <w:r w:rsidR="00000000" w:rsidRPr="003431B9">
        <w:rPr>
          <w:rFonts w:ascii="Times New Roman" w:eastAsia="SimSun" w:hAnsi="Times New Roman" w:cs="Times New Roman"/>
          <w:bCs/>
          <w:highlight w:val="white"/>
        </w:rPr>
        <w:t>PBS, OX40, DR, DO, and DOA</w:t>
      </w:r>
      <w:r w:rsidR="00000000" w:rsidRPr="003431B9">
        <w:rPr>
          <w:rFonts w:ascii="Times New Roman" w:eastAsia="SimSun" w:hAnsi="Times New Roman" w:cs="Times New Roman"/>
          <w:bCs/>
          <w:color w:val="000000"/>
          <w:kern w:val="24"/>
        </w:rPr>
        <w:t>). C, D) Detailed information of flow cytometry</w:t>
      </w:r>
      <w:r w:rsidR="00000000" w:rsidRPr="003431B9">
        <w:rPr>
          <w:rFonts w:ascii="Times New Roman" w:eastAsia="SimSun" w:hAnsi="Times New Roman" w:cs="Times New Roman"/>
          <w:color w:val="000000"/>
          <w:kern w:val="24"/>
        </w:rPr>
        <w:t xml:space="preserve"> for intracellular cytokine (IFN-γ and TNF-α) secretion. Through CD4/CD8 surface and intracellular cytokine (IFN-γ and TNF-α) staining, flow cytometry was performed to analyze the activation of splenic T cells incubated with 4T1 tumor cells in different groups (</w:t>
      </w:r>
      <w:r w:rsidR="00000000" w:rsidRPr="003431B9">
        <w:rPr>
          <w:rFonts w:ascii="Times New Roman" w:eastAsia="SimSun" w:hAnsi="Times New Roman" w:cs="Times New Roman"/>
          <w:highlight w:val="white"/>
        </w:rPr>
        <w:t>PBS, OX40, DR, DO, and DOA</w:t>
      </w:r>
      <w:r w:rsidR="00000000" w:rsidRPr="003431B9">
        <w:rPr>
          <w:rFonts w:ascii="Times New Roman" w:eastAsia="SimSun" w:hAnsi="Times New Roman" w:cs="Times New Roman"/>
          <w:color w:val="000000"/>
          <w:kern w:val="24"/>
        </w:rPr>
        <w:t>).</w:t>
      </w:r>
    </w:p>
    <w:p w14:paraId="09889481" w14:textId="77777777" w:rsidR="003431B9" w:rsidRPr="003431B9" w:rsidRDefault="003431B9" w:rsidP="003431B9">
      <w:pPr>
        <w:spacing w:line="360" w:lineRule="auto"/>
        <w:rPr>
          <w:rFonts w:ascii="Times New Roman" w:hAnsi="Times New Roman" w:cs="Times New Roman"/>
          <w:b/>
          <w:bCs/>
          <w:sz w:val="24"/>
        </w:rPr>
      </w:pPr>
    </w:p>
    <w:p w14:paraId="7CD5898A" w14:textId="083FAE32" w:rsidR="00974416" w:rsidRPr="003431B9" w:rsidRDefault="003431B9" w:rsidP="003431B9">
      <w:pPr>
        <w:spacing w:line="360" w:lineRule="auto"/>
        <w:rPr>
          <w:rFonts w:ascii="Times New Roman" w:hAnsi="Times New Roman" w:cs="Times New Roman"/>
          <w:sz w:val="24"/>
        </w:rPr>
      </w:pPr>
      <w:r w:rsidRPr="003431B9">
        <w:rPr>
          <w:rFonts w:ascii="Times New Roman" w:hAnsi="Times New Roman" w:cs="Times New Roman"/>
          <w:b/>
          <w:bCs/>
          <w:sz w:val="24"/>
        </w:rPr>
        <w:t>Supplementary</w:t>
      </w:r>
      <w:r w:rsidRPr="003431B9">
        <w:rPr>
          <w:rFonts w:ascii="Times New Roman" w:hAnsi="Times New Roman" w:cs="Times New Roman"/>
          <w:b/>
          <w:bCs/>
          <w:sz w:val="24"/>
        </w:rPr>
        <w:t xml:space="preserve"> </w:t>
      </w:r>
      <w:r w:rsidR="00000000" w:rsidRPr="003431B9">
        <w:rPr>
          <w:rFonts w:ascii="Times New Roman" w:hAnsi="Times New Roman" w:cs="Times New Roman"/>
          <w:b/>
          <w:bCs/>
          <w:sz w:val="24"/>
        </w:rPr>
        <w:t xml:space="preserve">Figure S3. </w:t>
      </w:r>
      <w:r w:rsidR="00000000" w:rsidRPr="003431B9">
        <w:rPr>
          <w:rFonts w:ascii="Times New Roman" w:hAnsi="Times New Roman" w:cs="Times New Roman"/>
          <w:sz w:val="24"/>
        </w:rPr>
        <w:t xml:space="preserve">Detailed information about the B16F10/4T1-associated </w:t>
      </w:r>
      <w:r w:rsidR="00000000" w:rsidRPr="003431B9">
        <w:rPr>
          <w:rFonts w:ascii="Times New Roman" w:eastAsia="SimSun" w:hAnsi="Times New Roman" w:cs="Times New Roman"/>
          <w:color w:val="333333"/>
          <w:sz w:val="24"/>
          <w:shd w:val="clear" w:color="auto" w:fill="FFFFFF"/>
        </w:rPr>
        <w:t xml:space="preserve">neoantigen </w:t>
      </w:r>
      <w:r w:rsidR="00000000" w:rsidRPr="003431B9">
        <w:rPr>
          <w:rFonts w:ascii="Times New Roman" w:hAnsi="Times New Roman" w:cs="Times New Roman"/>
          <w:sz w:val="24"/>
        </w:rPr>
        <w:t xml:space="preserve">peptides and related bioinformatic analysis in BRCA and SKCM patients. A, B) </w:t>
      </w:r>
      <w:r w:rsidR="00000000" w:rsidRPr="003431B9">
        <w:rPr>
          <w:rFonts w:ascii="Times New Roman" w:eastAsia="SimSun" w:hAnsi="Times New Roman" w:cs="Times New Roman"/>
          <w:sz w:val="24"/>
          <w:shd w:val="clear" w:color="auto" w:fill="FFFFFF"/>
        </w:rPr>
        <w:t xml:space="preserve">Tables showed the details of the synthesis of the optimal </w:t>
      </w:r>
      <w:r w:rsidR="00000000" w:rsidRPr="003431B9">
        <w:rPr>
          <w:rFonts w:ascii="Times New Roman" w:hAnsi="Times New Roman" w:cs="Times New Roman"/>
          <w:sz w:val="24"/>
        </w:rPr>
        <w:t xml:space="preserve">B16F10-associated </w:t>
      </w:r>
      <w:r w:rsidR="00000000" w:rsidRPr="003431B9">
        <w:rPr>
          <w:rFonts w:ascii="Times New Roman" w:eastAsia="SimSun" w:hAnsi="Times New Roman" w:cs="Times New Roman"/>
          <w:sz w:val="24"/>
          <w:shd w:val="clear" w:color="auto" w:fill="FFFFFF"/>
        </w:rPr>
        <w:t xml:space="preserve">(A) </w:t>
      </w:r>
      <w:r w:rsidR="00000000" w:rsidRPr="003431B9">
        <w:rPr>
          <w:rFonts w:ascii="Times New Roman" w:hAnsi="Times New Roman" w:cs="Times New Roman"/>
          <w:sz w:val="24"/>
        </w:rPr>
        <w:t xml:space="preserve">and 4T1-associated (B) </w:t>
      </w:r>
      <w:r w:rsidR="00000000" w:rsidRPr="003431B9">
        <w:rPr>
          <w:rFonts w:ascii="Times New Roman" w:eastAsia="SimSun" w:hAnsi="Times New Roman" w:cs="Times New Roman"/>
          <w:sz w:val="24"/>
          <w:shd w:val="clear" w:color="auto" w:fill="FFFFFF"/>
        </w:rPr>
        <w:t>neoantigen</w:t>
      </w:r>
      <w:r w:rsidR="00000000" w:rsidRPr="003431B9">
        <w:rPr>
          <w:rFonts w:ascii="Times New Roman" w:hAnsi="Times New Roman" w:cs="Times New Roman"/>
          <w:sz w:val="24"/>
        </w:rPr>
        <w:t xml:space="preserve"> peptides. C, D) </w:t>
      </w:r>
      <w:r w:rsidR="00000000" w:rsidRPr="003431B9">
        <w:rPr>
          <w:rFonts w:ascii="Times New Roman" w:eastAsia="SimSun" w:hAnsi="Times New Roman" w:cs="Times New Roman"/>
          <w:sz w:val="24"/>
        </w:rPr>
        <w:t xml:space="preserve">Correlations </w:t>
      </w:r>
      <w:r w:rsidR="00000000" w:rsidRPr="003431B9">
        <w:rPr>
          <w:rFonts w:ascii="Times New Roman" w:hAnsi="Times New Roman" w:cs="Times New Roman"/>
          <w:sz w:val="24"/>
        </w:rPr>
        <w:t xml:space="preserve">between the expression levels of </w:t>
      </w:r>
      <w:r w:rsidR="00000000" w:rsidRPr="003431B9">
        <w:rPr>
          <w:rFonts w:ascii="Times New Roman" w:eastAsia="SimSun" w:hAnsi="Times New Roman" w:cs="Times New Roman"/>
          <w:sz w:val="24"/>
        </w:rPr>
        <w:t xml:space="preserve">ATG8 (GABAPARAPL1) (C) </w:t>
      </w:r>
      <w:r w:rsidR="00000000" w:rsidRPr="003431B9">
        <w:rPr>
          <w:rFonts w:ascii="Times New Roman" w:hAnsi="Times New Roman" w:cs="Times New Roman"/>
          <w:sz w:val="24"/>
        </w:rPr>
        <w:t>and</w:t>
      </w:r>
      <w:r w:rsidR="00000000" w:rsidRPr="003431B9">
        <w:rPr>
          <w:rFonts w:ascii="Times New Roman" w:eastAsia="SimSun" w:hAnsi="Times New Roman" w:cs="Times New Roman"/>
          <w:sz w:val="24"/>
        </w:rPr>
        <w:t xml:space="preserve"> ATG12 (D) and the abundances of CD8 + T cells, CD4 + T cells, and DCs in </w:t>
      </w:r>
      <w:r w:rsidR="00000000" w:rsidRPr="003431B9">
        <w:rPr>
          <w:rFonts w:ascii="Times New Roman" w:hAnsi="Times New Roman" w:cs="Times New Roman"/>
          <w:sz w:val="24"/>
        </w:rPr>
        <w:t xml:space="preserve">BRCA </w:t>
      </w:r>
      <w:r w:rsidR="00000000" w:rsidRPr="003431B9">
        <w:rPr>
          <w:rFonts w:ascii="Times New Roman" w:eastAsia="SimSun" w:hAnsi="Times New Roman" w:cs="Times New Roman"/>
          <w:sz w:val="24"/>
        </w:rPr>
        <w:t>(</w:t>
      </w:r>
      <w:r w:rsidR="00000000" w:rsidRPr="003431B9">
        <w:rPr>
          <w:rFonts w:ascii="Times New Roman" w:hAnsi="Times New Roman" w:cs="Times New Roman"/>
          <w:sz w:val="24"/>
        </w:rPr>
        <w:t>upper panel) and SKCM (lower panel)</w:t>
      </w:r>
      <w:r w:rsidR="00000000" w:rsidRPr="003431B9">
        <w:rPr>
          <w:rFonts w:ascii="Times New Roman" w:eastAsia="SimSun" w:hAnsi="Times New Roman" w:cs="Times New Roman"/>
          <w:sz w:val="24"/>
        </w:rPr>
        <w:t xml:space="preserve"> </w:t>
      </w:r>
      <w:r w:rsidR="00000000" w:rsidRPr="003431B9">
        <w:rPr>
          <w:rFonts w:ascii="Times New Roman" w:hAnsi="Times New Roman" w:cs="Times New Roman"/>
          <w:sz w:val="24"/>
        </w:rPr>
        <w:t>tissues. BRCA, breast invasive carcinoma; SKCM, skin cutaneous melanoma.</w:t>
      </w:r>
    </w:p>
    <w:p w14:paraId="270A6985" w14:textId="1E895DBB" w:rsidR="00974416" w:rsidRPr="003431B9" w:rsidRDefault="00974416" w:rsidP="003431B9">
      <w:pPr>
        <w:spacing w:line="360" w:lineRule="auto"/>
        <w:rPr>
          <w:rFonts w:ascii="Times New Roman" w:hAnsi="Times New Roman" w:cs="Times New Roman"/>
          <w:sz w:val="24"/>
        </w:rPr>
      </w:pPr>
    </w:p>
    <w:p w14:paraId="015169B9" w14:textId="2600CE60" w:rsidR="00974416" w:rsidRPr="003431B9" w:rsidRDefault="003431B9" w:rsidP="003431B9">
      <w:pPr>
        <w:pStyle w:val="Normlnywebov"/>
        <w:widowControl/>
        <w:spacing w:before="200" w:after="0" w:line="360" w:lineRule="auto"/>
        <w:rPr>
          <w:rFonts w:ascii="Times New Roman" w:hAnsi="Times New Roman" w:cs="Times New Roman"/>
        </w:rPr>
      </w:pPr>
      <w:r w:rsidRPr="003431B9">
        <w:rPr>
          <w:rFonts w:ascii="Times New Roman" w:hAnsi="Times New Roman" w:cs="Times New Roman"/>
          <w:b/>
          <w:bCs/>
        </w:rPr>
        <w:lastRenderedPageBreak/>
        <w:t>Supplementary</w:t>
      </w:r>
      <w:r w:rsidRPr="003431B9">
        <w:rPr>
          <w:rFonts w:ascii="Times New Roman" w:hAnsi="Times New Roman" w:cs="Times New Roman"/>
          <w:b/>
          <w:bCs/>
        </w:rPr>
        <w:t xml:space="preserve"> </w:t>
      </w:r>
      <w:r w:rsidR="00000000" w:rsidRPr="003431B9">
        <w:rPr>
          <w:rFonts w:ascii="Times New Roman" w:hAnsi="Times New Roman" w:cs="Times New Roman"/>
          <w:b/>
          <w:bCs/>
        </w:rPr>
        <w:t xml:space="preserve">Figure S4. </w:t>
      </w:r>
      <w:r w:rsidR="00000000" w:rsidRPr="003431B9">
        <w:rPr>
          <w:rFonts w:ascii="Times New Roman" w:eastAsia="SimSun" w:hAnsi="Times New Roman" w:cs="Times New Roman"/>
          <w:bCs/>
          <w:color w:val="000000"/>
          <w:kern w:val="24"/>
        </w:rPr>
        <w:t xml:space="preserve">Detailed information of B16F10/4T1-associated </w:t>
      </w:r>
      <w:r w:rsidR="00000000" w:rsidRPr="003431B9">
        <w:rPr>
          <w:rFonts w:ascii="Times New Roman" w:eastAsia="Calibri Light" w:hAnsi="Times New Roman" w:cs="Times New Roman"/>
          <w:bCs/>
          <w:color w:val="333333"/>
          <w:kern w:val="24"/>
          <w:highlight w:val="white"/>
        </w:rPr>
        <w:t>neoantigen</w:t>
      </w:r>
      <w:r w:rsidR="00000000" w:rsidRPr="003431B9">
        <w:rPr>
          <w:rFonts w:ascii="Times New Roman" w:eastAsia="SimSun" w:hAnsi="Times New Roman" w:cs="Times New Roman"/>
          <w:bCs/>
          <w:color w:val="333333"/>
          <w:kern w:val="24"/>
          <w:highlight w:val="white"/>
        </w:rPr>
        <w:t xml:space="preserve"> </w:t>
      </w:r>
      <w:r w:rsidR="00000000" w:rsidRPr="003431B9">
        <w:rPr>
          <w:rFonts w:ascii="Times New Roman" w:eastAsia="SimSun" w:hAnsi="Times New Roman" w:cs="Times New Roman"/>
          <w:bCs/>
          <w:color w:val="000000"/>
          <w:kern w:val="24"/>
        </w:rPr>
        <w:t xml:space="preserve">peptides related immunogenicity testing. </w:t>
      </w:r>
      <w:r w:rsidR="00000000" w:rsidRPr="003431B9">
        <w:rPr>
          <w:rFonts w:ascii="Times New Roman" w:hAnsi="Times New Roman" w:cs="Times New Roman"/>
        </w:rPr>
        <w:t>A, B</w:t>
      </w:r>
      <w:r w:rsidR="00000000" w:rsidRPr="003431B9">
        <w:rPr>
          <w:rFonts w:ascii="Times New Roman" w:eastAsia="SimSun" w:hAnsi="Times New Roman" w:cs="Times New Roman"/>
          <w:color w:val="000000"/>
          <w:kern w:val="24"/>
        </w:rPr>
        <w:t xml:space="preserve">) Flow cytometry for Intracellular cytokine (IFN-γ and TNF-α) secretion in </w:t>
      </w:r>
      <w:r w:rsidR="00000000" w:rsidRPr="003431B9">
        <w:rPr>
          <w:rFonts w:ascii="Times New Roman" w:eastAsia="STSong" w:hAnsi="Times New Roman" w:cs="Times New Roman"/>
          <w:color w:val="000000"/>
          <w:kern w:val="24"/>
        </w:rPr>
        <w:t xml:space="preserve">neoantigen specific T cell immune responses of </w:t>
      </w:r>
      <w:r w:rsidR="00000000" w:rsidRPr="003431B9">
        <w:rPr>
          <w:rFonts w:ascii="Times New Roman" w:eastAsia="SimSun" w:hAnsi="Times New Roman" w:cs="Times New Roman"/>
          <w:color w:val="000000"/>
          <w:kern w:val="24"/>
        </w:rPr>
        <w:t xml:space="preserve">B16F10 model. Through CD4/CD8 surface and intracellular cytokine IFN-γ/TNF-α staining, flow cytometry was performed to analyze the activation of splenic T cells incubated with neoantigen peptides (M30 and M27). </w:t>
      </w:r>
      <w:r w:rsidR="00000000" w:rsidRPr="003431B9">
        <w:rPr>
          <w:rFonts w:ascii="Times New Roman" w:hAnsi="Times New Roman" w:cs="Times New Roman"/>
        </w:rPr>
        <w:t>C, D</w:t>
      </w:r>
      <w:r w:rsidR="00000000" w:rsidRPr="003431B9">
        <w:rPr>
          <w:rFonts w:ascii="Times New Roman" w:eastAsia="SimSun" w:hAnsi="Times New Roman" w:cs="Times New Roman"/>
          <w:color w:val="000000"/>
          <w:kern w:val="24"/>
        </w:rPr>
        <w:t xml:space="preserve">) Flow cytometry for Intracellular cytokine (IFN-γ and TNF-α) secretion in </w:t>
      </w:r>
      <w:r w:rsidR="00000000" w:rsidRPr="003431B9">
        <w:rPr>
          <w:rFonts w:ascii="Times New Roman" w:eastAsia="STSong" w:hAnsi="Times New Roman" w:cs="Times New Roman"/>
          <w:color w:val="000000"/>
          <w:kern w:val="24"/>
        </w:rPr>
        <w:t xml:space="preserve">neoantigen specific T cell immune responses of </w:t>
      </w:r>
      <w:r w:rsidR="00000000" w:rsidRPr="003431B9">
        <w:rPr>
          <w:rFonts w:ascii="Times New Roman" w:eastAsia="SimSun" w:hAnsi="Times New Roman" w:cs="Times New Roman"/>
          <w:color w:val="000000"/>
          <w:kern w:val="24"/>
        </w:rPr>
        <w:t>4T1 model. Through CD4/CD8 surface and intracellular cytokine IFN-γ/TNF-α staining, flow cytometry was performed to analyze the activation of splenic T cells incubated with neoantigen peptides (M8 and M17).</w:t>
      </w:r>
      <w:r w:rsidR="00000000" w:rsidRPr="003431B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8A79DAC" wp14:editId="5158C63F">
                <wp:simplePos x="0" y="0"/>
                <wp:positionH relativeFrom="column">
                  <wp:posOffset>3368675</wp:posOffset>
                </wp:positionH>
                <wp:positionV relativeFrom="paragraph">
                  <wp:posOffset>26035</wp:posOffset>
                </wp:positionV>
                <wp:extent cx="346075" cy="304800"/>
                <wp:effectExtent l="0" t="0" r="0" b="0"/>
                <wp:wrapNone/>
                <wp:docPr id="2048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824691" y="410768"/>
                          <a:ext cx="346472" cy="304800"/>
                        </a:xfrm>
                        <a:prstGeom prst="rect">
                          <a:avLst/>
                        </a:prstGeom>
                        <a:noFill/>
                        <a:ln>
                          <a:noFill/>
                        </a:ln>
                      </wps:spPr>
                      <wps:txbx>
                        <w:txbxContent>
                          <w:p w14:paraId="638F4FB5" w14:textId="77777777" w:rsidR="00974416" w:rsidRDefault="00000000">
                            <w:pPr>
                              <w:pStyle w:val="Normlnywebov"/>
                            </w:pPr>
                            <w:r>
                              <w:rPr>
                                <w:rFonts w:ascii="Arial" w:eastAsia="SimSun"/>
                                <w:color w:val="000000" w:themeColor="text1"/>
                                <w:kern w:val="24"/>
                                <w:sz w:val="27"/>
                                <w:szCs w:val="27"/>
                              </w:rPr>
                              <w:t xml:space="preserve"> </w:t>
                            </w:r>
                          </w:p>
                        </w:txbxContent>
                      </wps:txbx>
                      <wps:bodyPr>
                        <a:spAutoFit/>
                      </wps:bodyPr>
                    </wps:wsp>
                  </a:graphicData>
                </a:graphic>
              </wp:anchor>
            </w:drawing>
          </mc:Choice>
          <mc:Fallback>
            <w:pict>
              <v:shapetype w14:anchorId="78A79DAC" id="_x0000_t202" coordsize="21600,21600" o:spt="202" path="m,l,21600r21600,l21600,xe">
                <v:stroke joinstyle="miter"/>
                <v:path gradientshapeok="t" o:connecttype="rect"/>
              </v:shapetype>
              <v:shape id="文本框 6" o:spid="_x0000_s1026" type="#_x0000_t202" style="position:absolute;left:0;text-align:left;margin-left:265.25pt;margin-top:2.05pt;width:27.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" filled="f" stroked="f">
                <v:textbox style="mso-fit-shape-to-text:t">
                  <w:txbxContent>
                    <w:p w14:paraId="638F4FB5" w14:textId="77777777" w:rsidR="00974416" w:rsidRDefault="00000000">
                      <w:pPr>
                        <w:pStyle w:val="Normlnywebov"/>
                      </w:pPr>
                      <w:r>
                        <w:rPr>
                          <w:rFonts w:ascii="Arial" w:eastAsia="SimSun"/>
                          <w:color w:val="000000" w:themeColor="text1"/>
                          <w:kern w:val="24"/>
                          <w:sz w:val="27"/>
                          <w:szCs w:val="27"/>
                        </w:rPr>
                        <w:t xml:space="preserve"> </w:t>
                      </w:r>
                    </w:p>
                  </w:txbxContent>
                </v:textbox>
              </v:shape>
            </w:pict>
          </mc:Fallback>
        </mc:AlternateContent>
      </w:r>
    </w:p>
    <w:sectPr w:rsidR="00974416" w:rsidRPr="003431B9" w:rsidSect="003431B9">
      <w:pgSz w:w="11906" w:h="16838"/>
      <w:pgMar w:top="1134" w:right="1134" w:bottom="1134" w:left="1134" w:header="1020" w:footer="10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415C" w14:textId="77777777" w:rsidR="008B1903" w:rsidRDefault="008B1903" w:rsidP="003431B9">
      <w:pPr>
        <w:spacing w:after="0" w:line="240" w:lineRule="auto"/>
      </w:pPr>
      <w:r>
        <w:separator/>
      </w:r>
    </w:p>
  </w:endnote>
  <w:endnote w:type="continuationSeparator" w:id="0">
    <w:p w14:paraId="2465A7E9" w14:textId="77777777" w:rsidR="008B1903" w:rsidRDefault="008B1903" w:rsidP="0034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Song">
    <w:altName w:val="Microsoft YaHei"/>
    <w:charset w:val="86"/>
    <w:family w:val="auto"/>
    <w:pitch w:val="default"/>
    <w:sig w:usb0="00000287" w:usb1="080F0000" w:usb2="00000000" w:usb3="00000000" w:csb0="0004009F" w:csb1="DFD7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E75B" w14:textId="77777777" w:rsidR="008B1903" w:rsidRDefault="008B1903" w:rsidP="003431B9">
      <w:pPr>
        <w:spacing w:after="0" w:line="240" w:lineRule="auto"/>
      </w:pPr>
      <w:r>
        <w:separator/>
      </w:r>
    </w:p>
  </w:footnote>
  <w:footnote w:type="continuationSeparator" w:id="0">
    <w:p w14:paraId="452353C8" w14:textId="77777777" w:rsidR="008B1903" w:rsidRDefault="008B1903" w:rsidP="00343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16"/>
    <w:rsid w:val="003431B9"/>
    <w:rsid w:val="008B1903"/>
    <w:rsid w:val="00974416"/>
    <w:rsid w:val="0EE8559D"/>
    <w:rsid w:val="0F8B3F82"/>
    <w:rsid w:val="1C23499A"/>
    <w:rsid w:val="1D121FE3"/>
    <w:rsid w:val="433D6ACA"/>
    <w:rsid w:val="56110CEE"/>
    <w:rsid w:val="65DC5A73"/>
    <w:rsid w:val="7C6C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DDFFE1"/>
  <w15:docId w15:val="{CBEDF248-0486-4CC8-A44E-F797673F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k-SK" w:eastAsia="sk-S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kern w:val="2"/>
      <w:sz w:val="21"/>
      <w:szCs w:val="24"/>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Pr>
      <w:sz w:val="24"/>
    </w:rPr>
  </w:style>
  <w:style w:type="paragraph" w:styleId="Hlavika">
    <w:name w:val="header"/>
    <w:basedOn w:val="Normlny"/>
    <w:link w:val="HlavikaChar"/>
    <w:rsid w:val="003431B9"/>
    <w:pPr>
      <w:tabs>
        <w:tab w:val="center" w:pos="4536"/>
        <w:tab w:val="right" w:pos="9072"/>
      </w:tabs>
      <w:spacing w:after="0" w:line="240" w:lineRule="auto"/>
    </w:pPr>
  </w:style>
  <w:style w:type="character" w:customStyle="1" w:styleId="HlavikaChar">
    <w:name w:val="Hlavička Char"/>
    <w:basedOn w:val="Predvolenpsmoodseku"/>
    <w:link w:val="Hlavika"/>
    <w:rsid w:val="003431B9"/>
    <w:rPr>
      <w:kern w:val="2"/>
      <w:sz w:val="21"/>
      <w:szCs w:val="24"/>
      <w:lang w:val="en-US" w:eastAsia="zh-CN"/>
    </w:rPr>
  </w:style>
  <w:style w:type="paragraph" w:styleId="Pta">
    <w:name w:val="footer"/>
    <w:basedOn w:val="Normlny"/>
    <w:link w:val="PtaChar"/>
    <w:rsid w:val="003431B9"/>
    <w:pPr>
      <w:tabs>
        <w:tab w:val="center" w:pos="4536"/>
        <w:tab w:val="right" w:pos="9072"/>
      </w:tabs>
      <w:spacing w:after="0" w:line="240" w:lineRule="auto"/>
    </w:pPr>
  </w:style>
  <w:style w:type="character" w:customStyle="1" w:styleId="PtaChar">
    <w:name w:val="Päta Char"/>
    <w:basedOn w:val="Predvolenpsmoodseku"/>
    <w:link w:val="Pta"/>
    <w:rsid w:val="003431B9"/>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paulina.gronesova@savba.sk</cp:lastModifiedBy>
  <cp:revision>2</cp:revision>
  <dcterms:created xsi:type="dcterms:W3CDTF">2023-11-27T13:42:00Z</dcterms:created>
  <dcterms:modified xsi:type="dcterms:W3CDTF">2023-11-27T13:42:00Z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2052-10.1.0.5539</vt:lpwstr>
  </property>
</Properties>
</file>